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46" w:rsidRDefault="00782A46" w:rsidP="00782A46">
      <w:pPr>
        <w:shd w:val="clear" w:color="auto" w:fill="F1F0F0"/>
        <w:spacing w:after="45" w:line="240" w:lineRule="auto"/>
        <w:rPr>
          <w:rFonts w:ascii="Sylfaen" w:eastAsia="Times New Roman" w:hAnsi="Sylfaen" w:cs="Helvetica"/>
          <w:color w:val="4B4F56"/>
          <w:sz w:val="18"/>
          <w:szCs w:val="18"/>
          <w:lang w:val="ka-GE"/>
        </w:rPr>
      </w:pPr>
      <w:proofErr w:type="spellStart"/>
      <w:proofErr w:type="gramStart"/>
      <w:r w:rsidRPr="00782A46">
        <w:rPr>
          <w:rFonts w:ascii="Sylfaen" w:eastAsia="Times New Roman" w:hAnsi="Sylfaen" w:cs="Helvetica"/>
          <w:color w:val="4B4F56"/>
          <w:sz w:val="18"/>
          <w:szCs w:val="18"/>
        </w:rPr>
        <w:t>kitxvebi</w:t>
      </w:r>
      <w:proofErr w:type="spellEnd"/>
      <w:proofErr w:type="gramEnd"/>
      <w:r w:rsidRPr="00782A46">
        <w:rPr>
          <w:rFonts w:ascii="Sylfaen" w:eastAsia="Times New Roman" w:hAnsi="Sylfaen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Helvetica"/>
          <w:color w:val="4B4F56"/>
          <w:sz w:val="18"/>
          <w:szCs w:val="18"/>
        </w:rPr>
        <w:t>tbilisi</w:t>
      </w:r>
      <w:proofErr w:type="spellEnd"/>
      <w:r w:rsidRPr="00782A46">
        <w:rPr>
          <w:rFonts w:ascii="Sylfaen" w:eastAsia="Times New Roman" w:hAnsi="Sylfaen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Helvetica"/>
          <w:color w:val="4B4F56"/>
          <w:sz w:val="18"/>
          <w:szCs w:val="18"/>
        </w:rPr>
        <w:t>taimsis</w:t>
      </w:r>
      <w:proofErr w:type="spellEnd"/>
      <w:r w:rsidRPr="00782A46">
        <w:rPr>
          <w:rFonts w:ascii="Sylfaen" w:eastAsia="Times New Roman" w:hAnsi="Sylfaen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Helvetica"/>
          <w:color w:val="4B4F56"/>
          <w:sz w:val="18"/>
          <w:szCs w:val="18"/>
        </w:rPr>
        <w:t>jurnalistisagan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კითხვები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საქართველოს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შრომის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ჯანმრთელობისა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და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სოციალური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დაცვის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სამინისტროს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გთხოვთ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გვიპასუხოთ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შემდეგ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კითხვებზე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>:</w:t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  <w:t xml:space="preserve">•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სულ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რამდენი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ფსიქიატრიული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დაწესებულებაა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საქართველოში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? </w:t>
      </w:r>
      <w:proofErr w:type="spellStart"/>
      <w:proofErr w:type="gram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აქედან</w:t>
      </w:r>
      <w:proofErr w:type="spellEnd"/>
      <w:proofErr w:type="gram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რამდენია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ზოგადი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პროფილის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საავადმყოფოებში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გახსნილი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? </w:t>
      </w:r>
    </w:p>
    <w:p w:rsidR="00782A46" w:rsidRPr="00782A46" w:rsidRDefault="00782A46" w:rsidP="00782A46">
      <w:pPr>
        <w:pStyle w:val="ListParagraph"/>
        <w:numPr>
          <w:ilvl w:val="0"/>
          <w:numId w:val="1"/>
        </w:numPr>
        <w:shd w:val="clear" w:color="auto" w:fill="F1F0F0"/>
        <w:spacing w:after="45" w:line="240" w:lineRule="auto"/>
        <w:rPr>
          <w:rFonts w:ascii="Sylfaen" w:eastAsia="Times New Roman" w:hAnsi="Sylfaen" w:cs="Helvetica"/>
          <w:color w:val="4B4F56"/>
          <w:sz w:val="18"/>
          <w:szCs w:val="18"/>
          <w:lang w:val="ka-GE"/>
        </w:rPr>
      </w:pPr>
      <w:r>
        <w:rPr>
          <w:rFonts w:ascii="Sylfaen" w:eastAsia="Times New Roman" w:hAnsi="Sylfaen" w:cs="Helvetica"/>
          <w:color w:val="4B4F56"/>
          <w:sz w:val="18"/>
          <w:szCs w:val="18"/>
          <w:lang w:val="ka-GE"/>
        </w:rPr>
        <w:t xml:space="preserve">„ფსიქიკური ჯანმრთელობის“ სახელმწიფო პროგრამის ფსიქიატრიული </w:t>
      </w:r>
      <w:r>
        <w:rPr>
          <w:rFonts w:ascii="Sylfaen" w:eastAsia="Times New Roman" w:hAnsi="Sylfaen" w:cs="Helvetica"/>
          <w:color w:val="4B4F56"/>
          <w:sz w:val="18"/>
          <w:szCs w:val="18"/>
          <w:lang w:val="ka-GE"/>
        </w:rPr>
        <w:t>სტაციონარული</w:t>
      </w:r>
      <w:r>
        <w:rPr>
          <w:rFonts w:ascii="Sylfaen" w:eastAsia="Times New Roman" w:hAnsi="Sylfaen" w:cs="Helvetica"/>
          <w:color w:val="4B4F56"/>
          <w:sz w:val="18"/>
          <w:szCs w:val="18"/>
          <w:lang w:val="ka-GE"/>
        </w:rPr>
        <w:t xml:space="preserve"> მომსახურების  მიმწოდებლი 12 სამედიცინო დაწესებულებაა, აქედან </w:t>
      </w:r>
      <w:r>
        <w:rPr>
          <w:rFonts w:ascii="Sylfaen" w:eastAsia="Times New Roman" w:hAnsi="Sylfaen" w:cs="Helvetica"/>
          <w:color w:val="4B4F56"/>
          <w:sz w:val="18"/>
          <w:szCs w:val="18"/>
          <w:lang w:val="ka-GE"/>
        </w:rPr>
        <w:t>ქ.თბილისში</w:t>
      </w:r>
      <w:r>
        <w:rPr>
          <w:rFonts w:ascii="Sylfaen" w:eastAsia="Times New Roman" w:hAnsi="Sylfaen" w:cs="Helvetica"/>
          <w:color w:val="4B4F56"/>
          <w:sz w:val="18"/>
          <w:szCs w:val="18"/>
          <w:lang w:val="ka-GE"/>
        </w:rPr>
        <w:t xml:space="preserve"> არის 5 ფსიქიატრიული პროფილის დაწესებულება, მათ შორის 3 განყოფილება ფუნქციონირებდა ზოგადი პროფილის საავადმყოფოებში. ესენია, ქ.თბილისის N5 კლინიკური საავადმყოფო, „აკად.ო.ღუდუშაურის სახ.ეროვნული სამედიცინო ცენტრი. </w:t>
      </w:r>
    </w:p>
    <w:p w:rsidR="00F52E8E" w:rsidRPr="00F52E8E" w:rsidRDefault="00782A46" w:rsidP="00F52E8E">
      <w:pPr>
        <w:rPr>
          <w:rFonts w:ascii="Sylfaen" w:eastAsia="Times New Roman" w:hAnsi="Sylfaen" w:cs="Calibri"/>
          <w:color w:val="000000"/>
          <w:lang w:val="ka-GE"/>
        </w:rPr>
      </w:pP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  <w:t xml:space="preserve">• </w:t>
      </w:r>
      <w:proofErr w:type="spellStart"/>
      <w:proofErr w:type="gram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სტატისტიკა</w:t>
      </w:r>
      <w:proofErr w:type="spellEnd"/>
      <w:proofErr w:type="gram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როგორია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,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ბოლო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მონაცემით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რამდენი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ადამიანი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სარგებლობს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სტაციონალური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მომსახურებით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>?</w:t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r w:rsidR="00F52E8E">
        <w:rPr>
          <w:rFonts w:ascii="Sylfaen" w:eastAsia="Times New Roman" w:hAnsi="Sylfaen" w:cs="Helvetica"/>
          <w:color w:val="4B4F56"/>
          <w:sz w:val="18"/>
          <w:szCs w:val="18"/>
          <w:lang w:val="ka-GE"/>
        </w:rPr>
        <w:t xml:space="preserve">     -      2016 წლის 10 თვის მონაცემებით ფსიქიატრიული სტაციონარულ მომსახურებაზე დაფიქსირებულია   </w:t>
      </w:r>
      <w:r w:rsidR="00F52E8E" w:rsidRPr="00F52E8E">
        <w:rPr>
          <w:rFonts w:ascii="Calibri" w:eastAsia="Times New Roman" w:hAnsi="Calibri" w:cs="Calibri"/>
          <w:color w:val="000000"/>
          <w:sz w:val="18"/>
          <w:szCs w:val="18"/>
        </w:rPr>
        <w:t>16448</w:t>
      </w:r>
      <w:r w:rsidR="00F52E8E" w:rsidRPr="00F52E8E">
        <w:rPr>
          <w:rFonts w:ascii="Sylfaen" w:eastAsia="Times New Roman" w:hAnsi="Sylfaen" w:cs="Calibri"/>
          <w:color w:val="000000"/>
          <w:sz w:val="18"/>
          <w:szCs w:val="18"/>
          <w:lang w:val="ka-GE"/>
        </w:rPr>
        <w:t xml:space="preserve"> შემთხვევათა რაოდენობა</w:t>
      </w:r>
      <w:r w:rsidR="00F52E8E">
        <w:rPr>
          <w:rFonts w:ascii="Sylfaen" w:eastAsia="Times New Roman" w:hAnsi="Sylfaen" w:cs="Calibri"/>
          <w:color w:val="000000"/>
          <w:sz w:val="18"/>
          <w:szCs w:val="18"/>
          <w:lang w:val="ka-GE"/>
        </w:rPr>
        <w:t>.</w:t>
      </w:r>
    </w:p>
    <w:p w:rsidR="00F52E8E" w:rsidRDefault="00782A46" w:rsidP="00782A46">
      <w:pPr>
        <w:shd w:val="clear" w:color="auto" w:fill="F1F0F0"/>
        <w:spacing w:after="45" w:line="240" w:lineRule="auto"/>
        <w:rPr>
          <w:rFonts w:ascii="Sylfaen" w:eastAsia="Times New Roman" w:hAnsi="Sylfaen" w:cs="Helvetica"/>
          <w:color w:val="4B4F56"/>
          <w:sz w:val="18"/>
          <w:szCs w:val="18"/>
          <w:lang w:val="ka-GE"/>
        </w:rPr>
      </w:pP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  <w:t xml:space="preserve">• </w:t>
      </w:r>
      <w:proofErr w:type="spellStart"/>
      <w:proofErr w:type="gram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როგორც</w:t>
      </w:r>
      <w:proofErr w:type="spellEnd"/>
      <w:proofErr w:type="gram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გავრცელდა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ინფორმაცია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,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ღუდუშაურის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კლინიკაში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არსებულმა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ფსიქიატრიულმა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განყოფილებამ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შეწყვიტა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მომსახურება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და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ბენეფიციარების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მიღება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,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მიზეზი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ფინანსების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არ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ქონაა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და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ბიუჯეტის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შემცირება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სახელდება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? </w:t>
      </w:r>
      <w:proofErr w:type="spellStart"/>
      <w:proofErr w:type="gram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რა</w:t>
      </w:r>
      <w:proofErr w:type="spellEnd"/>
      <w:proofErr w:type="gram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ბედი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ეწევათ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იმ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ბენეფიციარებს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,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ვინც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კლინიკებში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მკურნალობენ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? </w:t>
      </w:r>
    </w:p>
    <w:p w:rsidR="00F52E8E" w:rsidRPr="00F52E8E" w:rsidRDefault="00F52E8E" w:rsidP="00F52E8E">
      <w:pPr>
        <w:pStyle w:val="ListParagraph"/>
        <w:numPr>
          <w:ilvl w:val="0"/>
          <w:numId w:val="1"/>
        </w:numPr>
        <w:shd w:val="clear" w:color="auto" w:fill="F1F0F0"/>
        <w:spacing w:after="45" w:line="240" w:lineRule="auto"/>
        <w:rPr>
          <w:rFonts w:ascii="Sylfaen" w:eastAsia="Times New Roman" w:hAnsi="Sylfaen" w:cs="Helvetica"/>
          <w:color w:val="4B4F56"/>
          <w:sz w:val="18"/>
          <w:szCs w:val="18"/>
          <w:lang w:val="ka-GE"/>
        </w:rPr>
      </w:pPr>
      <w:r>
        <w:rPr>
          <w:rFonts w:ascii="Sylfaen" w:eastAsia="Times New Roman" w:hAnsi="Sylfaen" w:cs="Helvetica"/>
          <w:color w:val="4B4F56"/>
          <w:sz w:val="18"/>
          <w:szCs w:val="18"/>
          <w:lang w:val="ka-GE"/>
        </w:rPr>
        <w:t xml:space="preserve">აღსანიშნავია, რომ 2017 წლის ფსიქიკური ჯანმრთელობის  პროფილირებული მომსახურების ბიუჯეტი დაითვალა და გადანაწილდა  სამართლიანად. რაც შეეხება, ბენეფიციარებს, რა თქმა უნდა, ისინი არანაირად არ დაზარალდებიან და მიიღებენ კვლიფიციურ, მაღალხარისხიან </w:t>
      </w:r>
      <w:r>
        <w:rPr>
          <w:rFonts w:ascii="Sylfaen" w:eastAsia="Times New Roman" w:hAnsi="Sylfaen" w:cs="Helvetica"/>
          <w:color w:val="4B4F56"/>
          <w:sz w:val="18"/>
          <w:szCs w:val="18"/>
          <w:lang w:val="ka-GE"/>
        </w:rPr>
        <w:t>ფსიქიატრიულ</w:t>
      </w:r>
      <w:r>
        <w:rPr>
          <w:rFonts w:ascii="Sylfaen" w:eastAsia="Times New Roman" w:hAnsi="Sylfaen" w:cs="Helvetica"/>
          <w:color w:val="4B4F56"/>
          <w:sz w:val="18"/>
          <w:szCs w:val="18"/>
          <w:lang w:val="ka-GE"/>
        </w:rPr>
        <w:t xml:space="preserve"> სამედიცინო  მომსახურებას სხვა დაწესებულებებში.</w:t>
      </w:r>
      <w:bookmarkStart w:id="0" w:name="_GoBack"/>
      <w:bookmarkEnd w:id="0"/>
    </w:p>
    <w:p w:rsidR="00782A46" w:rsidRPr="00782A46" w:rsidRDefault="00782A46" w:rsidP="00782A46">
      <w:pPr>
        <w:shd w:val="clear" w:color="auto" w:fill="F1F0F0"/>
        <w:spacing w:after="45" w:line="240" w:lineRule="auto"/>
        <w:rPr>
          <w:rFonts w:ascii="inherit" w:eastAsia="Times New Roman" w:hAnsi="inherit" w:cs="Helvetica"/>
          <w:color w:val="4B4F56"/>
          <w:sz w:val="18"/>
          <w:szCs w:val="18"/>
        </w:rPr>
      </w:pP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  <w:t xml:space="preserve">• </w:t>
      </w:r>
      <w:proofErr w:type="spellStart"/>
      <w:proofErr w:type="gram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რატომ</w:t>
      </w:r>
      <w:proofErr w:type="spellEnd"/>
      <w:proofErr w:type="gram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შემცირდა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ბიუჯეტი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? </w:t>
      </w:r>
      <w:proofErr w:type="spellStart"/>
      <w:proofErr w:type="gram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რა</w:t>
      </w:r>
      <w:proofErr w:type="spellEnd"/>
      <w:proofErr w:type="gram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ცვლილებებია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ახალ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დადგენილებაში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? </w:t>
      </w:r>
      <w:proofErr w:type="spellStart"/>
      <w:proofErr w:type="gram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როგორ</w:t>
      </w:r>
      <w:proofErr w:type="spellEnd"/>
      <w:proofErr w:type="gram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განისაზღვრა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დაფინანსების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წესი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>?</w:t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</w:r>
      <w:proofErr w:type="spellStart"/>
      <w:proofErr w:type="gram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წინასწარ</w:t>
      </w:r>
      <w:proofErr w:type="spellEnd"/>
      <w:proofErr w:type="gram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მადლობას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გიხდით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4B4F56"/>
          <w:sz w:val="18"/>
          <w:szCs w:val="18"/>
        </w:rPr>
        <w:t>თანამშრომლობისთვის</w:t>
      </w:r>
      <w:proofErr w:type="spellEnd"/>
      <w:r w:rsidRPr="00782A46">
        <w:rPr>
          <w:rFonts w:ascii="inherit" w:eastAsia="Times New Roman" w:hAnsi="inherit" w:cs="Helvetica"/>
          <w:color w:val="4B4F56"/>
          <w:sz w:val="18"/>
          <w:szCs w:val="18"/>
        </w:rPr>
        <w:br/>
        <w:t>Chat conversation end</w:t>
      </w:r>
    </w:p>
    <w:p w:rsidR="00782A46" w:rsidRPr="00782A46" w:rsidRDefault="00782A46" w:rsidP="00782A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</w:rPr>
      </w:pPr>
      <w:proofErr w:type="spellStart"/>
      <w:proofErr w:type="gramStart"/>
      <w:r w:rsidRPr="00782A46">
        <w:rPr>
          <w:rFonts w:ascii="Sylfaen" w:eastAsia="Times New Roman" w:hAnsi="Sylfaen" w:cs="Sylfaen"/>
          <w:color w:val="1D2129"/>
          <w:sz w:val="18"/>
          <w:szCs w:val="18"/>
        </w:rPr>
        <w:t>საუბრის</w:t>
      </w:r>
      <w:proofErr w:type="spellEnd"/>
      <w:proofErr w:type="gramEnd"/>
      <w:r w:rsidRPr="00782A46">
        <w:rPr>
          <w:rFonts w:ascii="Helvetica" w:eastAsia="Times New Roman" w:hAnsi="Helvetica" w:cs="Helvetica"/>
          <w:color w:val="1D2129"/>
          <w:sz w:val="18"/>
          <w:szCs w:val="18"/>
        </w:rPr>
        <w:t xml:space="preserve"> </w:t>
      </w:r>
      <w:proofErr w:type="spellStart"/>
      <w:r w:rsidRPr="00782A46">
        <w:rPr>
          <w:rFonts w:ascii="Sylfaen" w:eastAsia="Times New Roman" w:hAnsi="Sylfaen" w:cs="Sylfaen"/>
          <w:color w:val="1D2129"/>
          <w:sz w:val="18"/>
          <w:szCs w:val="18"/>
        </w:rPr>
        <w:t>დასასრული</w:t>
      </w:r>
      <w:proofErr w:type="spellEnd"/>
    </w:p>
    <w:p w:rsidR="00CD1EE2" w:rsidRDefault="00CD1EE2"/>
    <w:sectPr w:rsidR="00CD1EE2" w:rsidSect="00782A46">
      <w:pgSz w:w="12240" w:h="15840"/>
      <w:pgMar w:top="1134" w:right="2175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C26C9"/>
    <w:multiLevelType w:val="hybridMultilevel"/>
    <w:tmpl w:val="61F8C142"/>
    <w:lvl w:ilvl="0" w:tplc="7C646800">
      <w:numFmt w:val="bullet"/>
      <w:lvlText w:val="-"/>
      <w:lvlJc w:val="left"/>
      <w:pPr>
        <w:ind w:left="855" w:hanging="360"/>
      </w:pPr>
      <w:rPr>
        <w:rFonts w:ascii="Sylfaen" w:eastAsia="Times New Roman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46"/>
    <w:rsid w:val="00782A46"/>
    <w:rsid w:val="00A94362"/>
    <w:rsid w:val="00CD1EE2"/>
    <w:rsid w:val="00F5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782A46"/>
  </w:style>
  <w:style w:type="paragraph" w:styleId="ListParagraph">
    <w:name w:val="List Paragraph"/>
    <w:basedOn w:val="Normal"/>
    <w:uiPriority w:val="34"/>
    <w:qFormat/>
    <w:rsid w:val="00782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782A46"/>
  </w:style>
  <w:style w:type="paragraph" w:styleId="ListParagraph">
    <w:name w:val="List Paragraph"/>
    <w:basedOn w:val="Normal"/>
    <w:uiPriority w:val="34"/>
    <w:qFormat/>
    <w:rsid w:val="0078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4498">
                  <w:marLeft w:val="120"/>
                  <w:marRight w:val="135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1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661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5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1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Madona Asatiani</dc:creator>
  <cp:lastModifiedBy>Madona Asatiani</cp:lastModifiedBy>
  <cp:revision>1</cp:revision>
  <dcterms:created xsi:type="dcterms:W3CDTF">2017-01-20T11:52:00Z</dcterms:created>
  <dcterms:modified xsi:type="dcterms:W3CDTF">2017-01-20T12:13:00Z</dcterms:modified>
</cp:coreProperties>
</file>